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HSB4U Unit 1 Test: Review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Format of Test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Section 1- Multiple Choice   /10: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There will be 5 multiple choice questions. Each question is worth 2 marks.  You will be marked for knowledge and thinking/inquiry.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Section 2 - True or False   /10: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There will be 5 True or False questions. Each question will be worth 2 marks. You will be marked for knowledge and communication.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Section 3 - Case Study   /10: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will be provided with a (⅓ page maximum) case study. Read the case study carefully and answer the 2 accompanying questions fully. You will be marked for communication and application.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Section 4 – Long Answer   /20: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 will be provided with two long answer prompts. Select the prompt you are best able to answer. The prompts will be broad in nature, allowing you demonstrate a breadth of knowledge related to our first unit. 5 marks will be assigned to each of the achievement chart categories (knowledge, thinking, communication, application).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u w:val="single"/>
          <w:rtl w:val="0"/>
        </w:rPr>
        <w:t xml:space="preserve">What to Review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You are responsible for all of the materials within the first 4 weeks of the course.  Additionally, you should review the wiki for articles, or videos. The terms below serve as a guide. 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Social Sciences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Anthropology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Psychology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Sociology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Ethical problems in research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Professions of the social sciences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Bobo Doll Experiment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Fields of Psychology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Psychology and social change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Data Gathering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Milgram Experiment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Stanford Prison Experiment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Macrosociology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Microsociology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Cognitive Consistency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Cognitive Dissonance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Anthropology and social change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Internal and External Factors (Anthropology and social change)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Acculturation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Behaviorism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John Watson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Classical Conditioning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Operant Conditioning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Consequences of Behavior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